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EB53D" w14:textId="77777777" w:rsidR="00E50921" w:rsidRPr="00A77F4D" w:rsidRDefault="00000E77">
      <w:pPr>
        <w:tabs>
          <w:tab w:val="left" w:pos="3543"/>
          <w:tab w:val="left" w:pos="7669"/>
        </w:tabs>
        <w:spacing w:before="10" w:after="3"/>
        <w:ind w:left="1"/>
        <w:jc w:val="center"/>
        <w:rPr>
          <w:rFonts w:ascii="Arial" w:hAnsi="Arial"/>
          <w:sz w:val="16"/>
          <w:lang w:val="ru-RU"/>
        </w:rPr>
      </w:pPr>
      <w:r>
        <w:rPr>
          <w:rFonts w:ascii="Arial" w:hAnsi="Arial"/>
          <w:sz w:val="16"/>
          <w:lang w:val="ru-RU"/>
        </w:rPr>
        <w:t>17 мая 2008 СУББОТА</w:t>
      </w:r>
      <w:r>
        <w:rPr>
          <w:rFonts w:ascii="Arial" w:hAnsi="Arial"/>
          <w:sz w:val="16"/>
          <w:lang w:val="ru-RU"/>
        </w:rPr>
        <w:tab/>
      </w:r>
      <w:r>
        <w:rPr>
          <w:rFonts w:ascii="Palatino Linotype" w:hAnsi="Palatino Linotype"/>
          <w:b/>
          <w:color w:val="800080"/>
          <w:position w:val="-2"/>
          <w:sz w:val="24"/>
          <w:lang w:val="ru-RU"/>
        </w:rPr>
        <w:t>Официальная Газета</w:t>
      </w:r>
      <w:r>
        <w:rPr>
          <w:rFonts w:ascii="Palatino Linotype" w:hAnsi="Palatino Linotype"/>
          <w:b/>
          <w:color w:val="800080"/>
          <w:position w:val="-2"/>
          <w:sz w:val="24"/>
          <w:lang w:val="ru-RU"/>
        </w:rPr>
        <w:tab/>
      </w:r>
      <w:r>
        <w:rPr>
          <w:rFonts w:ascii="Arial" w:hAnsi="Arial"/>
          <w:sz w:val="16"/>
          <w:lang w:val="ru-RU"/>
        </w:rPr>
        <w:t>Номер: 26879</w:t>
      </w:r>
    </w:p>
    <w:p w14:paraId="04DEB53E" w14:textId="77777777" w:rsidR="00E50921" w:rsidRDefault="00337148">
      <w:pPr>
        <w:pStyle w:val="a3"/>
        <w:spacing w:before="0" w:line="20" w:lineRule="exact"/>
        <w:ind w:left="98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4DEB58C">
          <v:group id="_x0000_s1027" style="width:439.2pt;height:.8pt;mso-position-horizontal-relative:char;mso-position-vertical-relative:line" coordsize="8784,16">
            <v:shape id="_x0000_s1026" style="position:absolute;left:-1;width:8784;height:15" coordsize="8784,15" path="m8783,l5870,,2943,,,,,15r2943,l5870,15r2913,l8783,xe" fillcolor="#606" stroked="f">
              <v:path arrowok="t"/>
            </v:shape>
            <w10:wrap type="none"/>
            <w10:anchorlock/>
          </v:group>
        </w:pict>
      </w:r>
    </w:p>
    <w:p w14:paraId="04DEB53F" w14:textId="33D08847" w:rsidR="00E50921" w:rsidRPr="00A77F4D" w:rsidRDefault="00914A22" w:rsidP="00020782">
      <w:pPr>
        <w:spacing w:before="111"/>
        <w:ind w:left="709"/>
        <w:jc w:val="center"/>
        <w:rPr>
          <w:rFonts w:ascii="Arial" w:hAnsi="Arial"/>
          <w:b/>
          <w:sz w:val="18"/>
          <w:lang w:val="ru-RU"/>
        </w:rPr>
      </w:pPr>
      <w:r>
        <w:rPr>
          <w:rFonts w:ascii="Arial" w:hAnsi="Arial"/>
          <w:b/>
          <w:color w:val="000080"/>
          <w:sz w:val="18"/>
          <w:lang w:val="ru-RU"/>
        </w:rPr>
        <w:t>УВЕДОМЛЕНИЕ</w:t>
      </w:r>
    </w:p>
    <w:p w14:paraId="04DEB540" w14:textId="77777777" w:rsidR="00E50921" w:rsidRPr="00A77F4D" w:rsidRDefault="00000E77" w:rsidP="00020782">
      <w:pPr>
        <w:pStyle w:val="TableParagraph"/>
        <w:ind w:left="709"/>
        <w:rPr>
          <w:lang w:val="ru-RU"/>
        </w:rPr>
      </w:pPr>
      <w:r>
        <w:rPr>
          <w:lang w:val="ru-RU"/>
        </w:rPr>
        <w:t>Из Министерства окружающей среды и лесного хозяйства:</w:t>
      </w:r>
    </w:p>
    <w:p w14:paraId="04DEB541" w14:textId="77777777" w:rsidR="00E50921" w:rsidRPr="00A77F4D" w:rsidRDefault="00000E77" w:rsidP="00020782">
      <w:pPr>
        <w:pStyle w:val="11"/>
        <w:spacing w:before="64"/>
        <w:ind w:left="1276"/>
        <w:jc w:val="center"/>
        <w:rPr>
          <w:lang w:val="ru-RU"/>
        </w:rPr>
      </w:pPr>
      <w:r>
        <w:rPr>
          <w:lang w:val="ru-RU"/>
        </w:rPr>
        <w:t>ПРОДОВОЛЬСТВЕННЫЙ КОДЕКС ТУРЦИИ</w:t>
      </w:r>
    </w:p>
    <w:p w14:paraId="29F36E98" w14:textId="77777777" w:rsidR="006760A4" w:rsidRDefault="00000E77" w:rsidP="00020782">
      <w:pPr>
        <w:spacing w:before="18" w:line="261" w:lineRule="auto"/>
        <w:ind w:left="1276" w:right="108"/>
        <w:jc w:val="center"/>
        <w:rPr>
          <w:b/>
          <w:sz w:val="18"/>
          <w:lang w:val="ru-RU"/>
        </w:rPr>
      </w:pPr>
      <w:r>
        <w:rPr>
          <w:b/>
          <w:sz w:val="18"/>
          <w:lang w:val="ru-RU"/>
        </w:rPr>
        <w:t>ИЗ</w:t>
      </w:r>
      <w:r w:rsidR="00020782">
        <w:rPr>
          <w:b/>
          <w:sz w:val="18"/>
          <w:lang w:val="ru-RU"/>
        </w:rPr>
        <w:t xml:space="preserve">ВЕЩЕНИЕ О МАКСИМАЛЬНО ВОЗМОЖНЫХ </w:t>
      </w:r>
      <w:r>
        <w:rPr>
          <w:b/>
          <w:sz w:val="18"/>
          <w:lang w:val="ru-RU"/>
        </w:rPr>
        <w:t xml:space="preserve">ПРЕДЕЛАХ ЗАГРЯЗНЕНИЙ </w:t>
      </w:r>
    </w:p>
    <w:p w14:paraId="04DEB542" w14:textId="3DD4DB72" w:rsidR="00E50921" w:rsidRPr="00A77F4D" w:rsidRDefault="00000E77" w:rsidP="00020782">
      <w:pPr>
        <w:spacing w:before="18" w:line="261" w:lineRule="auto"/>
        <w:ind w:left="1276" w:right="108"/>
        <w:jc w:val="center"/>
        <w:rPr>
          <w:b/>
          <w:sz w:val="18"/>
          <w:lang w:val="ru-RU"/>
        </w:rPr>
      </w:pPr>
      <w:r>
        <w:rPr>
          <w:b/>
          <w:sz w:val="18"/>
          <w:lang w:val="ru-RU"/>
        </w:rPr>
        <w:t>В ПРОДУКТАХ ПИТАНИЯ (№ УВЕДОМЛЕНИЯ: 2008 / 26)</w:t>
      </w:r>
    </w:p>
    <w:p w14:paraId="04DEB543" w14:textId="77777777" w:rsidR="00E50921" w:rsidRPr="00A77F4D" w:rsidRDefault="00E50921">
      <w:pPr>
        <w:pStyle w:val="a3"/>
        <w:spacing w:before="5"/>
        <w:rPr>
          <w:b/>
          <w:sz w:val="11"/>
          <w:lang w:val="ru-RU"/>
        </w:rPr>
      </w:pPr>
    </w:p>
    <w:p w14:paraId="04DEB544" w14:textId="77777777" w:rsidR="00E50921" w:rsidRPr="004F62BE" w:rsidRDefault="00000E77">
      <w:pPr>
        <w:pStyle w:val="11"/>
        <w:spacing w:before="92"/>
        <w:rPr>
          <w:sz w:val="20"/>
          <w:lang w:val="ru-RU"/>
        </w:rPr>
      </w:pPr>
      <w:r w:rsidRPr="004F62BE">
        <w:rPr>
          <w:sz w:val="20"/>
          <w:lang w:val="ru-RU"/>
        </w:rPr>
        <w:t xml:space="preserve">Цель </w:t>
      </w:r>
    </w:p>
    <w:p w14:paraId="04DEB545" w14:textId="6EE4D3CF" w:rsidR="00E50921" w:rsidRPr="004F62BE" w:rsidRDefault="00000E77">
      <w:pPr>
        <w:pStyle w:val="a3"/>
        <w:spacing w:before="19"/>
        <w:ind w:left="667"/>
        <w:rPr>
          <w:sz w:val="20"/>
          <w:lang w:val="ru-RU"/>
        </w:rPr>
      </w:pPr>
      <w:r w:rsidRPr="004F62BE">
        <w:rPr>
          <w:b/>
          <w:sz w:val="20"/>
          <w:lang w:val="ru-RU"/>
        </w:rPr>
        <w:t xml:space="preserve">СТАТЬЯ 1- </w:t>
      </w:r>
      <w:r w:rsidRPr="004F62BE">
        <w:rPr>
          <w:sz w:val="20"/>
          <w:lang w:val="ru-RU"/>
        </w:rPr>
        <w:t>(1) Цель данного Извещения - определить максимально возможные пределы загрязнений в продуктах питания.</w:t>
      </w:r>
    </w:p>
    <w:p w14:paraId="04DEB546" w14:textId="77777777" w:rsidR="00E50921" w:rsidRPr="004F62BE" w:rsidRDefault="00E50921">
      <w:pPr>
        <w:pStyle w:val="a3"/>
        <w:spacing w:before="1"/>
        <w:rPr>
          <w:sz w:val="22"/>
          <w:lang w:val="ru-RU"/>
        </w:rPr>
      </w:pPr>
    </w:p>
    <w:p w14:paraId="04DEB547" w14:textId="77777777" w:rsidR="00E50921" w:rsidRPr="004F62BE" w:rsidRDefault="00000E77">
      <w:pPr>
        <w:pStyle w:val="11"/>
        <w:rPr>
          <w:sz w:val="20"/>
          <w:lang w:val="ru-RU"/>
        </w:rPr>
      </w:pPr>
      <w:r w:rsidRPr="004F62BE">
        <w:rPr>
          <w:sz w:val="20"/>
          <w:lang w:val="ru-RU"/>
        </w:rPr>
        <w:t>Сфера применения</w:t>
      </w:r>
    </w:p>
    <w:p w14:paraId="04DEB548" w14:textId="6C7794B8" w:rsidR="00E50921" w:rsidRPr="004F62BE" w:rsidRDefault="00000E77">
      <w:pPr>
        <w:pStyle w:val="a3"/>
        <w:spacing w:before="19" w:line="261" w:lineRule="auto"/>
        <w:ind w:left="100" w:right="100" w:firstLine="567"/>
        <w:jc w:val="both"/>
        <w:rPr>
          <w:sz w:val="20"/>
          <w:lang w:val="ru-RU"/>
        </w:rPr>
      </w:pPr>
      <w:r w:rsidRPr="004F62BE">
        <w:rPr>
          <w:b/>
          <w:sz w:val="20"/>
          <w:lang w:val="ru-RU"/>
        </w:rPr>
        <w:t xml:space="preserve">СТАТЬЯ 2- </w:t>
      </w:r>
      <w:r w:rsidRPr="004F62BE">
        <w:rPr>
          <w:sz w:val="20"/>
          <w:lang w:val="ru-RU"/>
        </w:rPr>
        <w:t>(1) Данное Извещение включает в себя нитриты и нитраты, микотоксины, бактериальные токсины, тяжелые металлы, 3-монохлорпропан-1,2-диол, диоксины, фураны, полихлорированные бифенилы из группы диоксинов (</w:t>
      </w:r>
      <w:r w:rsidR="00914A22" w:rsidRPr="004F62BE">
        <w:rPr>
          <w:sz w:val="20"/>
          <w:lang w:val="ru-RU"/>
        </w:rPr>
        <w:t>ПХБ</w:t>
      </w:r>
      <w:r w:rsidRPr="004F62BE">
        <w:rPr>
          <w:sz w:val="20"/>
          <w:lang w:val="ru-RU"/>
        </w:rPr>
        <w:t>), полиароматические углеводороды и эруковую кислоту, которые могут содержаться в продуктах питания.</w:t>
      </w:r>
    </w:p>
    <w:p w14:paraId="04DEB549" w14:textId="77777777" w:rsidR="00E50921" w:rsidRPr="004F62BE" w:rsidRDefault="00E50921">
      <w:pPr>
        <w:pStyle w:val="a3"/>
        <w:spacing w:before="5"/>
        <w:rPr>
          <w:sz w:val="20"/>
          <w:lang w:val="ru-RU"/>
        </w:rPr>
      </w:pPr>
    </w:p>
    <w:p w14:paraId="04DEB54A" w14:textId="19FE5ED2" w:rsidR="00E50921" w:rsidRPr="004F62BE" w:rsidRDefault="00914A22">
      <w:pPr>
        <w:pStyle w:val="11"/>
        <w:rPr>
          <w:sz w:val="20"/>
          <w:lang w:val="ru-RU"/>
        </w:rPr>
      </w:pPr>
      <w:r w:rsidRPr="004F62BE">
        <w:rPr>
          <w:sz w:val="20"/>
          <w:lang w:val="ru-RU"/>
        </w:rPr>
        <w:t>Источники</w:t>
      </w:r>
    </w:p>
    <w:p w14:paraId="04DEB54B" w14:textId="59867E8E" w:rsidR="00E50921" w:rsidRPr="004F62BE" w:rsidRDefault="00000E77">
      <w:pPr>
        <w:pStyle w:val="a3"/>
        <w:spacing w:line="261" w:lineRule="auto"/>
        <w:ind w:left="100" w:right="107" w:firstLine="567"/>
        <w:jc w:val="both"/>
        <w:rPr>
          <w:sz w:val="20"/>
          <w:lang w:val="ru-RU"/>
        </w:rPr>
      </w:pPr>
      <w:r w:rsidRPr="004F62BE">
        <w:rPr>
          <w:b/>
          <w:sz w:val="20"/>
          <w:lang w:val="ru-RU"/>
        </w:rPr>
        <w:t xml:space="preserve">СТАТЬЯ 3- </w:t>
      </w:r>
      <w:r w:rsidRPr="004F62BE">
        <w:rPr>
          <w:sz w:val="20"/>
          <w:lang w:val="ru-RU"/>
        </w:rPr>
        <w:t>(1) Данное Извещение подготовлено, согласно "Руководству Продовольственного Кодекса Турции", опубликованному в Официальной Газете № 23172 от 16/11/1997 года.</w:t>
      </w:r>
    </w:p>
    <w:p w14:paraId="04DEB54C" w14:textId="77777777" w:rsidR="00E50921" w:rsidRPr="004F62BE" w:rsidRDefault="00E50921">
      <w:pPr>
        <w:pStyle w:val="a3"/>
        <w:spacing w:before="6"/>
        <w:rPr>
          <w:sz w:val="20"/>
          <w:lang w:val="ru-RU"/>
        </w:rPr>
      </w:pPr>
    </w:p>
    <w:p w14:paraId="04DEB54D" w14:textId="77777777" w:rsidR="00E50921" w:rsidRPr="004F62BE" w:rsidRDefault="00000E77">
      <w:pPr>
        <w:pStyle w:val="11"/>
        <w:rPr>
          <w:sz w:val="20"/>
          <w:lang w:val="ru-RU"/>
        </w:rPr>
      </w:pPr>
      <w:r w:rsidRPr="004F62BE">
        <w:rPr>
          <w:sz w:val="20"/>
          <w:lang w:val="ru-RU"/>
        </w:rPr>
        <w:t>Термины</w:t>
      </w:r>
    </w:p>
    <w:p w14:paraId="04DEB54E" w14:textId="214F9805" w:rsidR="00E50921" w:rsidRPr="004F62BE" w:rsidRDefault="00000E77">
      <w:pPr>
        <w:spacing w:before="19"/>
        <w:ind w:left="667"/>
        <w:rPr>
          <w:sz w:val="20"/>
          <w:lang w:val="ru-RU"/>
        </w:rPr>
      </w:pPr>
      <w:r w:rsidRPr="004F62BE">
        <w:rPr>
          <w:b/>
          <w:sz w:val="20"/>
          <w:lang w:val="ru-RU"/>
        </w:rPr>
        <w:t xml:space="preserve">СТАТЬЯ 4- </w:t>
      </w:r>
      <w:r w:rsidRPr="004F62BE">
        <w:rPr>
          <w:sz w:val="20"/>
          <w:lang w:val="ru-RU"/>
        </w:rPr>
        <w:t xml:space="preserve">(1) Термины, встречающиеся в данном Извещении, имеют следующие </w:t>
      </w:r>
      <w:r w:rsidR="00914A22" w:rsidRPr="004F62BE">
        <w:rPr>
          <w:sz w:val="20"/>
          <w:lang w:val="ru-RU"/>
        </w:rPr>
        <w:t>определения</w:t>
      </w:r>
      <w:r w:rsidRPr="004F62BE">
        <w:rPr>
          <w:sz w:val="20"/>
          <w:lang w:val="ru-RU"/>
        </w:rPr>
        <w:t>:</w:t>
      </w:r>
    </w:p>
    <w:p w14:paraId="04DEB54F" w14:textId="77777777" w:rsidR="00E50921" w:rsidRPr="004F62BE" w:rsidRDefault="00E50921">
      <w:pPr>
        <w:pStyle w:val="a3"/>
        <w:spacing w:before="1"/>
        <w:rPr>
          <w:sz w:val="22"/>
          <w:lang w:val="ru-RU"/>
        </w:rPr>
      </w:pPr>
    </w:p>
    <w:p w14:paraId="04DEB550" w14:textId="77777777" w:rsidR="00E50921" w:rsidRPr="004F62BE" w:rsidRDefault="00000E77">
      <w:pPr>
        <w:pStyle w:val="a4"/>
        <w:numPr>
          <w:ilvl w:val="0"/>
          <w:numId w:val="3"/>
        </w:numPr>
        <w:tabs>
          <w:tab w:val="left" w:pos="853"/>
        </w:tabs>
        <w:spacing w:before="1"/>
        <w:ind w:hanging="186"/>
        <w:jc w:val="both"/>
        <w:rPr>
          <w:sz w:val="20"/>
          <w:lang w:val="ru-RU"/>
        </w:rPr>
      </w:pPr>
      <w:r w:rsidRPr="004F62BE">
        <w:rPr>
          <w:sz w:val="20"/>
          <w:lang w:val="ru-RU"/>
        </w:rPr>
        <w:t>Министерство: Министерство окружающей среды и лесного хозяйства,</w:t>
      </w:r>
    </w:p>
    <w:p w14:paraId="04DEB551" w14:textId="77777777" w:rsidR="00E50921" w:rsidRPr="004F62BE" w:rsidRDefault="00000E77">
      <w:pPr>
        <w:pStyle w:val="a4"/>
        <w:numPr>
          <w:ilvl w:val="0"/>
          <w:numId w:val="3"/>
        </w:numPr>
        <w:tabs>
          <w:tab w:val="left" w:pos="863"/>
        </w:tabs>
        <w:spacing w:before="18"/>
        <w:ind w:left="862" w:hanging="196"/>
        <w:jc w:val="both"/>
        <w:rPr>
          <w:sz w:val="20"/>
          <w:lang w:val="ru-RU"/>
        </w:rPr>
      </w:pPr>
      <w:r w:rsidRPr="004F62BE">
        <w:rPr>
          <w:sz w:val="20"/>
          <w:lang w:val="ru-RU"/>
        </w:rPr>
        <w:t>Бактериальные токсины: токсичные метаболиты, производимые при определенных условиях некоторыми бактериями в продуктах питания,</w:t>
      </w:r>
    </w:p>
    <w:p w14:paraId="04DEB552" w14:textId="5F29A8A2" w:rsidR="00E50921" w:rsidRPr="004F62BE" w:rsidRDefault="00914A22">
      <w:pPr>
        <w:pStyle w:val="a4"/>
        <w:numPr>
          <w:ilvl w:val="0"/>
          <w:numId w:val="3"/>
        </w:numPr>
        <w:tabs>
          <w:tab w:val="left" w:pos="866"/>
        </w:tabs>
        <w:spacing w:before="18" w:line="261" w:lineRule="auto"/>
        <w:ind w:left="100" w:right="99" w:firstLine="567"/>
        <w:jc w:val="both"/>
        <w:rPr>
          <w:sz w:val="20"/>
          <w:lang w:val="ru-RU"/>
        </w:rPr>
      </w:pPr>
      <w:r w:rsidRPr="004F62BE">
        <w:rPr>
          <w:sz w:val="20"/>
          <w:lang w:val="ru-RU"/>
        </w:rPr>
        <w:t>Зараженность</w:t>
      </w:r>
      <w:r w:rsidR="00000E77" w:rsidRPr="004F62BE">
        <w:rPr>
          <w:sz w:val="20"/>
          <w:lang w:val="ru-RU"/>
        </w:rPr>
        <w:t xml:space="preserve">: различные загрязняющие вещества и составы, содержащиеся в продуктах питания, но которые не были добавлены туда умышленно, или которые попали в продукт на стадии перевозки от производителя до места торговли или из окружающей среды, </w:t>
      </w:r>
    </w:p>
    <w:p w14:paraId="04DEB553" w14:textId="77777777" w:rsidR="00E50921" w:rsidRPr="004F62BE" w:rsidRDefault="00000E77">
      <w:pPr>
        <w:pStyle w:val="a3"/>
        <w:spacing w:before="0" w:line="261" w:lineRule="auto"/>
        <w:ind w:left="100" w:right="104" w:firstLine="567"/>
        <w:jc w:val="both"/>
        <w:rPr>
          <w:sz w:val="20"/>
          <w:lang w:val="ru-RU"/>
        </w:rPr>
      </w:pPr>
      <w:r w:rsidRPr="004F62BE">
        <w:rPr>
          <w:sz w:val="20"/>
          <w:lang w:val="ru-RU"/>
        </w:rPr>
        <w:t>ç) Металлы и метаболиты: химические неорганические вещества, находящиеся в продуктах питания в их естественном виде или попавшие в продукт из окружающей среды, вследствие технологических операций или из упаковочного материала,</w:t>
      </w:r>
    </w:p>
    <w:p w14:paraId="04DEB554" w14:textId="77777777" w:rsidR="00E50921" w:rsidRPr="004F62BE" w:rsidRDefault="00000E77">
      <w:pPr>
        <w:pStyle w:val="a4"/>
        <w:numPr>
          <w:ilvl w:val="0"/>
          <w:numId w:val="3"/>
        </w:numPr>
        <w:tabs>
          <w:tab w:val="left" w:pos="863"/>
        </w:tabs>
        <w:spacing w:line="206" w:lineRule="exact"/>
        <w:ind w:left="862" w:hanging="196"/>
        <w:jc w:val="both"/>
        <w:rPr>
          <w:sz w:val="20"/>
          <w:lang w:val="ru-RU"/>
        </w:rPr>
      </w:pPr>
      <w:r w:rsidRPr="004F62BE">
        <w:rPr>
          <w:sz w:val="20"/>
          <w:lang w:val="ru-RU"/>
        </w:rPr>
        <w:t>Микотоксины: токсичные вторичные метаболиты, производимые некоторыми видами плесени при определенных условиях окружащей среды в продуктах питания,</w:t>
      </w:r>
    </w:p>
    <w:p w14:paraId="04DEB555" w14:textId="5176255B" w:rsidR="00E50921" w:rsidRPr="004F62BE" w:rsidRDefault="00000E77">
      <w:pPr>
        <w:pStyle w:val="a4"/>
        <w:numPr>
          <w:ilvl w:val="0"/>
          <w:numId w:val="3"/>
        </w:numPr>
        <w:tabs>
          <w:tab w:val="left" w:pos="873"/>
        </w:tabs>
        <w:spacing w:before="17" w:line="261" w:lineRule="auto"/>
        <w:ind w:left="100" w:right="102" w:firstLine="567"/>
        <w:jc w:val="both"/>
        <w:rPr>
          <w:sz w:val="20"/>
          <w:lang w:val="ru-RU"/>
        </w:rPr>
      </w:pPr>
      <w:r w:rsidRPr="004F62BE">
        <w:rPr>
          <w:sz w:val="20"/>
          <w:lang w:val="ru-RU"/>
        </w:rPr>
        <w:t>Необработанные продукты питания: продукты питания, к которым не применялись никакие способы обработки, которые бы изменили их естественное состояние, данные продукты могут находиться в любом состоянии: разрезанном, отделенном от костей, почищенном, очищенном, отобранном, перемолотом, разрезанном, покрошенном, замороженном, глубоко замороженном, охлажденном, упакованном, а также ни в одном из вышеперечисленных состояний</w:t>
      </w:r>
    </w:p>
    <w:p w14:paraId="04DEB556" w14:textId="77777777" w:rsidR="00E50921" w:rsidRPr="004F62BE" w:rsidRDefault="00E50921">
      <w:pPr>
        <w:pStyle w:val="a3"/>
        <w:spacing w:before="6"/>
        <w:rPr>
          <w:sz w:val="20"/>
          <w:lang w:val="ru-RU"/>
        </w:rPr>
      </w:pPr>
    </w:p>
    <w:p w14:paraId="04DEB558" w14:textId="77777777" w:rsidR="00E50921" w:rsidRPr="00A77F4D" w:rsidRDefault="00E50921">
      <w:pPr>
        <w:pStyle w:val="a3"/>
        <w:spacing w:before="2"/>
        <w:rPr>
          <w:sz w:val="21"/>
          <w:lang w:val="ru-RU"/>
        </w:rPr>
      </w:pPr>
    </w:p>
    <w:p w14:paraId="04DEB559" w14:textId="77777777" w:rsidR="00E50921" w:rsidRPr="004F62BE" w:rsidRDefault="00000E77">
      <w:pPr>
        <w:pStyle w:val="11"/>
        <w:rPr>
          <w:sz w:val="20"/>
          <w:lang w:val="ru-RU"/>
        </w:rPr>
      </w:pPr>
      <w:r w:rsidRPr="004F62BE">
        <w:rPr>
          <w:sz w:val="20"/>
          <w:lang w:val="ru-RU"/>
        </w:rPr>
        <w:t>Основные положения</w:t>
      </w:r>
    </w:p>
    <w:p w14:paraId="04DEB55A" w14:textId="41CE81E4" w:rsidR="00E50921" w:rsidRPr="004F62BE" w:rsidRDefault="00000E77">
      <w:pPr>
        <w:pStyle w:val="a3"/>
        <w:ind w:left="667"/>
        <w:rPr>
          <w:sz w:val="20"/>
          <w:lang w:val="ru-RU"/>
        </w:rPr>
      </w:pPr>
      <w:r w:rsidRPr="004F62BE">
        <w:rPr>
          <w:b/>
          <w:sz w:val="20"/>
          <w:lang w:val="ru-RU"/>
        </w:rPr>
        <w:t xml:space="preserve">СТАТЬЯ 5- </w:t>
      </w:r>
      <w:r w:rsidRPr="004F62BE">
        <w:rPr>
          <w:sz w:val="20"/>
          <w:lang w:val="ru-RU"/>
        </w:rPr>
        <w:t>(1) Основные положения о загрязнениях представлены ниже.</w:t>
      </w:r>
    </w:p>
    <w:p w14:paraId="04DEB55B" w14:textId="77777777" w:rsidR="00E50921" w:rsidRPr="004F62BE" w:rsidRDefault="00E50921">
      <w:pPr>
        <w:pStyle w:val="a3"/>
        <w:spacing w:before="2"/>
        <w:rPr>
          <w:sz w:val="22"/>
          <w:lang w:val="ru-RU"/>
        </w:rPr>
      </w:pPr>
    </w:p>
    <w:p w14:paraId="04DEB55C" w14:textId="77777777" w:rsidR="00E50921" w:rsidRPr="004F62BE" w:rsidRDefault="00000E77">
      <w:pPr>
        <w:pStyle w:val="a4"/>
        <w:numPr>
          <w:ilvl w:val="0"/>
          <w:numId w:val="2"/>
        </w:numPr>
        <w:tabs>
          <w:tab w:val="left" w:pos="899"/>
        </w:tabs>
        <w:spacing w:line="261" w:lineRule="auto"/>
        <w:ind w:right="109" w:firstLine="567"/>
        <w:jc w:val="both"/>
        <w:rPr>
          <w:sz w:val="20"/>
          <w:lang w:val="ru-RU"/>
        </w:rPr>
      </w:pPr>
      <w:r w:rsidRPr="004F62BE">
        <w:rPr>
          <w:sz w:val="20"/>
          <w:lang w:val="ru-RU"/>
        </w:rPr>
        <w:t>Количество загрязнений в продуктах питания при их представлении в продажу не должно быть выше пределов, указанных в приложении.</w:t>
      </w:r>
    </w:p>
    <w:p w14:paraId="04DEB55D" w14:textId="77777777" w:rsidR="00E50921" w:rsidRPr="004F62BE" w:rsidRDefault="00E50921">
      <w:pPr>
        <w:pStyle w:val="a3"/>
        <w:spacing w:before="6"/>
        <w:rPr>
          <w:sz w:val="20"/>
          <w:lang w:val="ru-RU"/>
        </w:rPr>
      </w:pPr>
    </w:p>
    <w:p w14:paraId="04DEB55E" w14:textId="77777777" w:rsidR="00E50921" w:rsidRPr="004F62BE" w:rsidRDefault="00000E77">
      <w:pPr>
        <w:pStyle w:val="a4"/>
        <w:numPr>
          <w:ilvl w:val="0"/>
          <w:numId w:val="2"/>
        </w:numPr>
        <w:tabs>
          <w:tab w:val="left" w:pos="863"/>
        </w:tabs>
        <w:ind w:left="862" w:hanging="196"/>
        <w:rPr>
          <w:sz w:val="20"/>
          <w:lang w:val="ru-RU"/>
        </w:rPr>
      </w:pPr>
      <w:r w:rsidRPr="004F62BE">
        <w:rPr>
          <w:sz w:val="20"/>
          <w:lang w:val="ru-RU"/>
        </w:rPr>
        <w:t>Максимальное количество загрязнений, определенное в приложении, применяется к съедобным частям продуктов питания, если не предусмотрено иное.</w:t>
      </w:r>
    </w:p>
    <w:p w14:paraId="04DEB55F" w14:textId="77777777" w:rsidR="00E50921" w:rsidRPr="004F62BE" w:rsidRDefault="00E50921">
      <w:pPr>
        <w:pStyle w:val="a3"/>
        <w:spacing w:before="2"/>
        <w:rPr>
          <w:sz w:val="22"/>
          <w:lang w:val="ru-RU"/>
        </w:rPr>
      </w:pPr>
    </w:p>
    <w:p w14:paraId="04DEB560" w14:textId="39A65E08" w:rsidR="00E50921" w:rsidRPr="004F62BE" w:rsidRDefault="00000E77">
      <w:pPr>
        <w:pStyle w:val="a4"/>
        <w:numPr>
          <w:ilvl w:val="0"/>
          <w:numId w:val="2"/>
        </w:numPr>
        <w:tabs>
          <w:tab w:val="left" w:pos="879"/>
        </w:tabs>
        <w:spacing w:line="261" w:lineRule="auto"/>
        <w:ind w:right="103" w:firstLine="567"/>
        <w:rPr>
          <w:sz w:val="20"/>
          <w:lang w:val="ru-RU"/>
        </w:rPr>
      </w:pPr>
      <w:r w:rsidRPr="004F62BE">
        <w:rPr>
          <w:sz w:val="20"/>
          <w:lang w:val="ru-RU"/>
        </w:rPr>
        <w:t>К высушенным, разбавленным, обработанным продуктам или продуктам, содержащим в себе более одного компонента, применяются ма</w:t>
      </w:r>
      <w:r w:rsidR="00ED180F" w:rsidRPr="004F62BE">
        <w:rPr>
          <w:sz w:val="20"/>
          <w:lang w:val="ru-RU"/>
        </w:rPr>
        <w:t>к</w:t>
      </w:r>
      <w:r w:rsidRPr="004F62BE">
        <w:rPr>
          <w:sz w:val="20"/>
          <w:lang w:val="ru-RU"/>
        </w:rPr>
        <w:t>симальные показатели из приложения, но в то же время: принимая во внимание нижеперечисленные положения.</w:t>
      </w:r>
    </w:p>
    <w:p w14:paraId="04DEB561" w14:textId="77777777" w:rsidR="00E50921" w:rsidRPr="004F62BE" w:rsidRDefault="00000E77">
      <w:pPr>
        <w:pStyle w:val="a4"/>
        <w:numPr>
          <w:ilvl w:val="1"/>
          <w:numId w:val="2"/>
        </w:numPr>
        <w:tabs>
          <w:tab w:val="left" w:pos="863"/>
        </w:tabs>
        <w:spacing w:line="206" w:lineRule="exact"/>
        <w:rPr>
          <w:sz w:val="20"/>
          <w:lang w:val="ru-RU"/>
        </w:rPr>
      </w:pPr>
      <w:r w:rsidRPr="004F62BE">
        <w:rPr>
          <w:sz w:val="20"/>
          <w:lang w:val="ru-RU"/>
        </w:rPr>
        <w:t>Изменения в концентрации загрязнения в результате операций сушки или разбавления,</w:t>
      </w:r>
    </w:p>
    <w:p w14:paraId="04DEB562" w14:textId="77777777" w:rsidR="00E50921" w:rsidRPr="004F62BE" w:rsidRDefault="00000E77">
      <w:pPr>
        <w:pStyle w:val="a4"/>
        <w:numPr>
          <w:ilvl w:val="1"/>
          <w:numId w:val="2"/>
        </w:numPr>
        <w:tabs>
          <w:tab w:val="left" w:pos="863"/>
        </w:tabs>
        <w:spacing w:before="18"/>
        <w:rPr>
          <w:sz w:val="20"/>
          <w:lang w:val="ru-RU"/>
        </w:rPr>
      </w:pPr>
      <w:r w:rsidRPr="004F62BE">
        <w:rPr>
          <w:sz w:val="20"/>
          <w:lang w:val="ru-RU"/>
        </w:rPr>
        <w:t>Изменения в концентрации загрязнения в результате операции,</w:t>
      </w:r>
    </w:p>
    <w:p w14:paraId="04DEB563" w14:textId="77777777" w:rsidR="00E50921" w:rsidRPr="004F62BE" w:rsidRDefault="00000E77">
      <w:pPr>
        <w:pStyle w:val="a4"/>
        <w:numPr>
          <w:ilvl w:val="1"/>
          <w:numId w:val="2"/>
        </w:numPr>
        <w:tabs>
          <w:tab w:val="left" w:pos="863"/>
        </w:tabs>
        <w:spacing w:before="18"/>
        <w:rPr>
          <w:sz w:val="20"/>
          <w:lang w:val="ru-RU"/>
        </w:rPr>
      </w:pPr>
      <w:r w:rsidRPr="004F62BE">
        <w:rPr>
          <w:sz w:val="20"/>
          <w:lang w:val="ru-RU"/>
        </w:rPr>
        <w:t>Относительные пропорции компонентов в продукте,</w:t>
      </w:r>
    </w:p>
    <w:p w14:paraId="04DEB564" w14:textId="77777777" w:rsidR="00E50921" w:rsidRPr="004F62BE" w:rsidRDefault="00000E77">
      <w:pPr>
        <w:pStyle w:val="a4"/>
        <w:numPr>
          <w:ilvl w:val="1"/>
          <w:numId w:val="2"/>
        </w:numPr>
        <w:tabs>
          <w:tab w:val="left" w:pos="863"/>
        </w:tabs>
        <w:spacing w:before="19"/>
        <w:rPr>
          <w:sz w:val="20"/>
        </w:rPr>
      </w:pPr>
      <w:r w:rsidRPr="004F62BE">
        <w:rPr>
          <w:sz w:val="20"/>
          <w:lang w:val="ru-RU"/>
        </w:rPr>
        <w:t>Аналитический предел дозировки.</w:t>
      </w:r>
    </w:p>
    <w:p w14:paraId="04DEB565" w14:textId="77777777" w:rsidR="00E50921" w:rsidRPr="004F62BE" w:rsidRDefault="00E50921">
      <w:pPr>
        <w:pStyle w:val="a3"/>
        <w:spacing w:before="1"/>
        <w:rPr>
          <w:sz w:val="22"/>
        </w:rPr>
      </w:pPr>
    </w:p>
    <w:p w14:paraId="04DEB566" w14:textId="77777777" w:rsidR="00E50921" w:rsidRPr="004F62BE" w:rsidRDefault="00000E77">
      <w:pPr>
        <w:pStyle w:val="a3"/>
        <w:spacing w:before="1"/>
        <w:ind w:left="667"/>
        <w:rPr>
          <w:sz w:val="20"/>
          <w:lang w:val="ru-RU"/>
        </w:rPr>
      </w:pPr>
      <w:r w:rsidRPr="004F62BE">
        <w:rPr>
          <w:sz w:val="20"/>
          <w:lang w:val="ru-RU"/>
        </w:rPr>
        <w:t>ç) При расчете количества загрязнения в продуктах питания, представленных для употребления в пищу, производителем используется точный фактор концентрации и разбавления:</w:t>
      </w:r>
    </w:p>
    <w:p w14:paraId="04DEB567" w14:textId="77777777" w:rsidR="00E50921" w:rsidRPr="004F62BE" w:rsidRDefault="00000E77">
      <w:pPr>
        <w:pStyle w:val="a4"/>
        <w:numPr>
          <w:ilvl w:val="0"/>
          <w:numId w:val="1"/>
        </w:numPr>
        <w:tabs>
          <w:tab w:val="left" w:pos="863"/>
        </w:tabs>
        <w:spacing w:before="18"/>
        <w:rPr>
          <w:sz w:val="20"/>
          <w:lang w:val="ru-RU"/>
        </w:rPr>
      </w:pPr>
      <w:r w:rsidRPr="004F62BE">
        <w:rPr>
          <w:sz w:val="20"/>
          <w:lang w:val="ru-RU"/>
        </w:rPr>
        <w:t>Для операций сушки, разбавления, обработки и/или смешивания или</w:t>
      </w:r>
    </w:p>
    <w:p w14:paraId="04DEB568" w14:textId="77777777" w:rsidR="00E50921" w:rsidRPr="004F62BE" w:rsidRDefault="00000E77">
      <w:pPr>
        <w:pStyle w:val="a4"/>
        <w:numPr>
          <w:ilvl w:val="0"/>
          <w:numId w:val="1"/>
        </w:numPr>
        <w:tabs>
          <w:tab w:val="left" w:pos="863"/>
        </w:tabs>
        <w:spacing w:before="18"/>
        <w:rPr>
          <w:sz w:val="20"/>
          <w:lang w:val="ru-RU"/>
        </w:rPr>
      </w:pPr>
      <w:r w:rsidRPr="004F62BE">
        <w:rPr>
          <w:sz w:val="20"/>
          <w:lang w:val="ru-RU"/>
        </w:rPr>
        <w:lastRenderedPageBreak/>
        <w:t>Для высушенных, разбавленных, обработанных и/или составных продуктов питания</w:t>
      </w:r>
    </w:p>
    <w:p w14:paraId="04DEB569" w14:textId="77777777" w:rsidR="00E50921" w:rsidRPr="004F62BE" w:rsidRDefault="00000E77">
      <w:pPr>
        <w:pStyle w:val="a3"/>
        <w:ind w:left="100"/>
        <w:rPr>
          <w:sz w:val="20"/>
          <w:lang w:val="ru-RU"/>
        </w:rPr>
      </w:pPr>
      <w:r w:rsidRPr="004F62BE">
        <w:rPr>
          <w:sz w:val="20"/>
          <w:lang w:val="ru-RU"/>
        </w:rPr>
        <w:t>производителем используется особый фактор концентрации и разбавления.</w:t>
      </w:r>
    </w:p>
    <w:p w14:paraId="04DEB56A" w14:textId="77777777" w:rsidR="00E50921" w:rsidRPr="004F62BE" w:rsidRDefault="00E50921">
      <w:pPr>
        <w:pStyle w:val="a3"/>
        <w:spacing w:before="2"/>
        <w:rPr>
          <w:sz w:val="22"/>
          <w:lang w:val="ru-RU"/>
        </w:rPr>
      </w:pPr>
    </w:p>
    <w:p w14:paraId="04DEB56B" w14:textId="77777777" w:rsidR="00E50921" w:rsidRPr="004F62BE" w:rsidRDefault="00000E77">
      <w:pPr>
        <w:pStyle w:val="a4"/>
        <w:numPr>
          <w:ilvl w:val="0"/>
          <w:numId w:val="2"/>
        </w:numPr>
        <w:tabs>
          <w:tab w:val="left" w:pos="897"/>
        </w:tabs>
        <w:spacing w:line="261" w:lineRule="auto"/>
        <w:ind w:right="105" w:firstLine="567"/>
        <w:rPr>
          <w:sz w:val="20"/>
          <w:lang w:val="ru-RU"/>
        </w:rPr>
      </w:pPr>
      <w:r w:rsidRPr="004F62BE">
        <w:rPr>
          <w:sz w:val="20"/>
          <w:lang w:val="ru-RU"/>
        </w:rPr>
        <w:t>Если производитель не обозначил специальный фактор концентрации и разбавления или в случае, если Министерством обозначенный фактор признан недействительным, Министерство самостоятельно в рамках имеющихся документов определяет подходящий фактор с целью обезопасить здоровье людей.</w:t>
      </w:r>
    </w:p>
    <w:p w14:paraId="04DEB56C" w14:textId="77777777" w:rsidR="00E50921" w:rsidRPr="004F62BE" w:rsidRDefault="00E50921">
      <w:pPr>
        <w:pStyle w:val="a3"/>
        <w:spacing w:before="6"/>
        <w:rPr>
          <w:sz w:val="20"/>
          <w:lang w:val="ru-RU"/>
        </w:rPr>
      </w:pPr>
    </w:p>
    <w:p w14:paraId="04DEB56D" w14:textId="77777777" w:rsidR="00E50921" w:rsidRPr="004F62BE" w:rsidRDefault="00000E77">
      <w:pPr>
        <w:pStyle w:val="a4"/>
        <w:numPr>
          <w:ilvl w:val="0"/>
          <w:numId w:val="2"/>
        </w:numPr>
        <w:tabs>
          <w:tab w:val="left" w:pos="866"/>
        </w:tabs>
        <w:spacing w:line="261" w:lineRule="auto"/>
        <w:ind w:right="108" w:firstLine="567"/>
        <w:rPr>
          <w:sz w:val="20"/>
          <w:lang w:val="ru-RU"/>
        </w:rPr>
      </w:pPr>
      <w:r w:rsidRPr="004F62BE">
        <w:rPr>
          <w:sz w:val="20"/>
          <w:lang w:val="ru-RU"/>
        </w:rPr>
        <w:t>Продукты питания, не соответствующие максимальным показателям, данным в приложении, не могут быть использованы при производстве составных/сложных продуктов питания.</w:t>
      </w:r>
    </w:p>
    <w:p w14:paraId="04DEB56E" w14:textId="77777777" w:rsidR="00E50921" w:rsidRPr="004F62BE" w:rsidRDefault="00E50921">
      <w:pPr>
        <w:pStyle w:val="a3"/>
        <w:spacing w:before="6"/>
        <w:rPr>
          <w:sz w:val="20"/>
          <w:lang w:val="ru-RU"/>
        </w:rPr>
      </w:pPr>
    </w:p>
    <w:p w14:paraId="04DEB56F" w14:textId="77777777" w:rsidR="00E50921" w:rsidRPr="004F62BE" w:rsidRDefault="00000E77">
      <w:pPr>
        <w:pStyle w:val="a4"/>
        <w:numPr>
          <w:ilvl w:val="0"/>
          <w:numId w:val="2"/>
        </w:numPr>
        <w:tabs>
          <w:tab w:val="left" w:pos="833"/>
        </w:tabs>
        <w:ind w:left="832" w:hanging="166"/>
        <w:rPr>
          <w:sz w:val="20"/>
          <w:lang w:val="ru-RU"/>
        </w:rPr>
      </w:pPr>
      <w:r w:rsidRPr="004F62BE">
        <w:rPr>
          <w:sz w:val="20"/>
          <w:lang w:val="ru-RU"/>
        </w:rPr>
        <w:t>Продукты питания, соответствующие максимальным показателям, данным в приложении, не могут быть смешаны с продуктами, не соответствующими данным показателям.</w:t>
      </w:r>
    </w:p>
    <w:p w14:paraId="04DEB570" w14:textId="77777777" w:rsidR="00E50921" w:rsidRPr="004F62BE" w:rsidRDefault="00E50921">
      <w:pPr>
        <w:pStyle w:val="a3"/>
        <w:spacing w:before="2"/>
        <w:rPr>
          <w:sz w:val="22"/>
          <w:lang w:val="ru-RU"/>
        </w:rPr>
      </w:pPr>
    </w:p>
    <w:p w14:paraId="50F46AB3" w14:textId="77777777" w:rsidR="00914A22" w:rsidRPr="004F62BE" w:rsidRDefault="00000E77" w:rsidP="00721B1D">
      <w:pPr>
        <w:pStyle w:val="a4"/>
        <w:numPr>
          <w:ilvl w:val="0"/>
          <w:numId w:val="2"/>
        </w:numPr>
        <w:tabs>
          <w:tab w:val="left" w:pos="929"/>
        </w:tabs>
        <w:spacing w:before="78" w:line="261" w:lineRule="auto"/>
        <w:ind w:right="110" w:firstLine="567"/>
        <w:jc w:val="both"/>
        <w:rPr>
          <w:sz w:val="24"/>
          <w:lang w:val="ru-RU"/>
        </w:rPr>
      </w:pPr>
      <w:r w:rsidRPr="004F62BE">
        <w:rPr>
          <w:sz w:val="20"/>
          <w:lang w:val="ru-RU"/>
        </w:rPr>
        <w:t>Продукты питания, содержащие загрязнения (микотоксины) из Приложения-2, не могут быть подвержены процедуре детоксикации, включая физическую, химическую или микробиологическую детоксикацию</w:t>
      </w:r>
    </w:p>
    <w:p w14:paraId="04DEB573" w14:textId="1463BA72" w:rsidR="00E50921" w:rsidRPr="004F62BE" w:rsidRDefault="00000E77" w:rsidP="00721B1D">
      <w:pPr>
        <w:pStyle w:val="a4"/>
        <w:numPr>
          <w:ilvl w:val="0"/>
          <w:numId w:val="2"/>
        </w:numPr>
        <w:tabs>
          <w:tab w:val="left" w:pos="929"/>
        </w:tabs>
        <w:spacing w:before="78" w:line="261" w:lineRule="auto"/>
        <w:ind w:right="110" w:firstLine="567"/>
        <w:jc w:val="both"/>
        <w:rPr>
          <w:sz w:val="24"/>
        </w:rPr>
      </w:pPr>
      <w:r w:rsidRPr="004F62BE">
        <w:rPr>
          <w:sz w:val="24"/>
          <w:lang w:val="ru-RU"/>
        </w:rPr>
        <w:t xml:space="preserve">ğ) </w:t>
      </w:r>
      <w:r w:rsidRPr="004F62BE">
        <w:rPr>
          <w:sz w:val="20"/>
          <w:lang w:val="ru-RU"/>
        </w:rPr>
        <w:t>Разъяснение о возможности прямого использования или неиспользования арахиса и продуктов, изготавливаемых из него, должно содержаться на этикетке, если данные продукты продаются в упаковках, или в документах продукта, если он продается на развес. В случае отсутствия данного разъяснения эти продукты будут считаться обработанными (Таблица 2.1. Афлатоксин, категория 2.1.1</w:t>
      </w:r>
      <w:r w:rsidRPr="004F62BE">
        <w:rPr>
          <w:sz w:val="24"/>
          <w:lang w:val="ru-RU"/>
        </w:rPr>
        <w:t>).</w:t>
      </w:r>
    </w:p>
    <w:p w14:paraId="04DEB574" w14:textId="77777777" w:rsidR="00E50921" w:rsidRPr="004F62BE" w:rsidRDefault="00E50921">
      <w:pPr>
        <w:pStyle w:val="a3"/>
        <w:spacing w:before="6"/>
        <w:rPr>
          <w:sz w:val="20"/>
        </w:rPr>
      </w:pPr>
    </w:p>
    <w:p w14:paraId="04DEB575" w14:textId="77777777" w:rsidR="00E50921" w:rsidRPr="004F62BE" w:rsidRDefault="00000E77">
      <w:pPr>
        <w:pStyle w:val="a4"/>
        <w:numPr>
          <w:ilvl w:val="0"/>
          <w:numId w:val="2"/>
        </w:numPr>
        <w:tabs>
          <w:tab w:val="left" w:pos="890"/>
        </w:tabs>
        <w:spacing w:line="261" w:lineRule="auto"/>
        <w:ind w:right="98" w:firstLine="567"/>
        <w:rPr>
          <w:sz w:val="20"/>
          <w:lang w:val="ru-RU"/>
        </w:rPr>
      </w:pPr>
      <w:r w:rsidRPr="004F62BE">
        <w:rPr>
          <w:sz w:val="20"/>
          <w:lang w:val="ru-RU"/>
        </w:rPr>
        <w:t>В случае, если на упаковке латука посевного, выращенного в теплице, не будет содержаться никакой информации, относительно теплицы, данный продукт будет считаться латуком, выращенным под открытым небом.</w:t>
      </w:r>
    </w:p>
    <w:p w14:paraId="04DEB576" w14:textId="77777777" w:rsidR="00E50921" w:rsidRPr="004F62BE" w:rsidRDefault="00E50921">
      <w:pPr>
        <w:pStyle w:val="a3"/>
        <w:spacing w:before="6"/>
        <w:rPr>
          <w:sz w:val="20"/>
          <w:lang w:val="ru-RU"/>
        </w:rPr>
      </w:pPr>
    </w:p>
    <w:p w14:paraId="04DEB577" w14:textId="4FBE1E68" w:rsidR="00E50921" w:rsidRPr="004F62BE" w:rsidRDefault="00000E77">
      <w:pPr>
        <w:pStyle w:val="11"/>
        <w:jc w:val="both"/>
        <w:rPr>
          <w:sz w:val="20"/>
          <w:lang w:val="ru-RU"/>
        </w:rPr>
      </w:pPr>
      <w:r w:rsidRPr="004F62BE">
        <w:rPr>
          <w:sz w:val="20"/>
          <w:lang w:val="ru-RU"/>
        </w:rPr>
        <w:t xml:space="preserve">Методы </w:t>
      </w:r>
      <w:r w:rsidR="00914A22" w:rsidRPr="004F62BE">
        <w:rPr>
          <w:sz w:val="20"/>
          <w:lang w:val="ru-RU"/>
        </w:rPr>
        <w:t>отбора проб</w:t>
      </w:r>
      <w:r w:rsidRPr="004F62BE">
        <w:rPr>
          <w:sz w:val="20"/>
          <w:lang w:val="ru-RU"/>
        </w:rPr>
        <w:t xml:space="preserve"> и проведения анализов</w:t>
      </w:r>
    </w:p>
    <w:p w14:paraId="04DEB578" w14:textId="55304EEC" w:rsidR="00E50921" w:rsidRPr="004F62BE" w:rsidRDefault="00000E77">
      <w:pPr>
        <w:pStyle w:val="a3"/>
        <w:spacing w:line="261" w:lineRule="auto"/>
        <w:ind w:left="100" w:right="102" w:firstLine="567"/>
        <w:jc w:val="both"/>
        <w:rPr>
          <w:sz w:val="20"/>
          <w:lang w:val="ru-RU"/>
        </w:rPr>
      </w:pPr>
      <w:r w:rsidRPr="004F62BE">
        <w:rPr>
          <w:b/>
          <w:sz w:val="20"/>
          <w:lang w:val="ru-RU"/>
        </w:rPr>
        <w:t xml:space="preserve">СТАТЬЯ 6- </w:t>
      </w:r>
      <w:r w:rsidRPr="004F62BE">
        <w:rPr>
          <w:sz w:val="20"/>
          <w:lang w:val="ru-RU"/>
        </w:rPr>
        <w:t>(1) Сбор образцов продуктов из данного Извещения производится, согласно положениям раздела "Методы сбора образцов и проведения анализов "Руководства Продовольственного кодекса Турции, согласно "Извещению о критериях по сбору образцов, подготовке образцов и методов анализа для контроля уровня микотоксинов в продуктах питания Продовольственного кодекса Турции", опубликованному 26/4/2007 года в официальной Газете № 26504, и согласно "Извещению о критериях по сбору образцов, подготовке образцов и методов анализа для контроля содержания свинца, кадмия, ртути, неорганического олова, 3-Монохлорпропана-1,2-диол и бензопирена в продуктах питания", опубликованному 15/3/2008 года в Официальной Газете № 26817, и к ним применяются методы анализа, принятые на международном уровне.</w:t>
      </w:r>
    </w:p>
    <w:p w14:paraId="04DEB579" w14:textId="77777777" w:rsidR="00E50921" w:rsidRPr="004F62BE" w:rsidRDefault="00E50921">
      <w:pPr>
        <w:pStyle w:val="a3"/>
        <w:spacing w:before="4"/>
        <w:rPr>
          <w:sz w:val="20"/>
          <w:lang w:val="ru-RU"/>
        </w:rPr>
      </w:pPr>
    </w:p>
    <w:p w14:paraId="04DEB57A" w14:textId="77777777" w:rsidR="00E50921" w:rsidRPr="004F62BE" w:rsidRDefault="00000E77">
      <w:pPr>
        <w:pStyle w:val="11"/>
        <w:jc w:val="both"/>
        <w:rPr>
          <w:sz w:val="20"/>
          <w:lang w:val="ru-RU"/>
        </w:rPr>
      </w:pPr>
      <w:r w:rsidRPr="004F62BE">
        <w:rPr>
          <w:sz w:val="20"/>
          <w:lang w:val="ru-RU"/>
        </w:rPr>
        <w:t>Регистрация и проверка</w:t>
      </w:r>
    </w:p>
    <w:p w14:paraId="04DEB57B" w14:textId="03E95EE4" w:rsidR="00E50921" w:rsidRPr="004F62BE" w:rsidRDefault="00000E77">
      <w:pPr>
        <w:pStyle w:val="a3"/>
        <w:spacing w:before="19" w:line="261" w:lineRule="auto"/>
        <w:ind w:left="100" w:right="98" w:firstLine="567"/>
        <w:jc w:val="both"/>
        <w:rPr>
          <w:sz w:val="20"/>
          <w:lang w:val="ru-RU"/>
        </w:rPr>
      </w:pPr>
      <w:r w:rsidRPr="004F62BE">
        <w:rPr>
          <w:b/>
          <w:sz w:val="20"/>
          <w:lang w:val="ru-RU"/>
        </w:rPr>
        <w:t xml:space="preserve">СТАТЬЯ 7- </w:t>
      </w:r>
      <w:r w:rsidRPr="004F62BE">
        <w:rPr>
          <w:sz w:val="20"/>
          <w:lang w:val="ru-RU"/>
        </w:rPr>
        <w:t>(1) Производители и продавцы товаров из данного Извещения обязаны придерживаться положений данного Извещения во время регистрации, получения разрешения, контроля и проверки товаров. В отношении компаний, не придерживающихся данных положений, Министерством окружающей среды и лесного хозяйства будут приниматься соответствующие меры, согласно Закону О принятии внесенных изменений в Закон О производстве, потреблении и надзоре за продуктами питания под № 5179 от 27/5/2004 года.</w:t>
      </w:r>
    </w:p>
    <w:p w14:paraId="04DEB57C" w14:textId="77777777" w:rsidR="00E50921" w:rsidRPr="004F62BE" w:rsidRDefault="00E50921">
      <w:pPr>
        <w:pStyle w:val="a3"/>
        <w:spacing w:before="5"/>
        <w:rPr>
          <w:sz w:val="20"/>
          <w:lang w:val="ru-RU"/>
        </w:rPr>
      </w:pPr>
    </w:p>
    <w:p w14:paraId="04DEB57D" w14:textId="77777777" w:rsidR="00E50921" w:rsidRPr="004F62BE" w:rsidRDefault="00000E77">
      <w:pPr>
        <w:pStyle w:val="11"/>
        <w:jc w:val="both"/>
        <w:rPr>
          <w:sz w:val="20"/>
          <w:lang w:val="ru-RU"/>
        </w:rPr>
      </w:pPr>
      <w:r w:rsidRPr="004F62BE">
        <w:rPr>
          <w:sz w:val="20"/>
          <w:lang w:val="ru-RU"/>
        </w:rPr>
        <w:t>Соответствие Европейскому Союзу</w:t>
      </w:r>
    </w:p>
    <w:p w14:paraId="04DEB57E" w14:textId="62E0EBBC" w:rsidR="00E50921" w:rsidRPr="004F62BE" w:rsidRDefault="00000E77">
      <w:pPr>
        <w:pStyle w:val="a3"/>
        <w:spacing w:line="261" w:lineRule="auto"/>
        <w:ind w:left="100" w:right="110" w:firstLine="567"/>
        <w:jc w:val="both"/>
        <w:rPr>
          <w:sz w:val="20"/>
          <w:lang w:val="ru-RU"/>
        </w:rPr>
      </w:pPr>
      <w:r w:rsidRPr="004F62BE">
        <w:rPr>
          <w:b/>
          <w:sz w:val="20"/>
          <w:lang w:val="ru-RU"/>
        </w:rPr>
        <w:t xml:space="preserve">СТАТЬЯ 8- </w:t>
      </w:r>
      <w:r w:rsidRPr="004F62BE">
        <w:rPr>
          <w:sz w:val="20"/>
          <w:lang w:val="ru-RU"/>
        </w:rPr>
        <w:t>(1) Данное Извещение подготовлено в рамках соответствия Европейскому Союзу, принимая во внимание Устав комиссии об Определении максимального количества загрязнений в продуктах питания под № 1881/2006/EC.</w:t>
      </w:r>
    </w:p>
    <w:p w14:paraId="04DEB57F" w14:textId="77777777" w:rsidR="00E50921" w:rsidRPr="004F62BE" w:rsidRDefault="00E50921">
      <w:pPr>
        <w:pStyle w:val="a3"/>
        <w:spacing w:before="6"/>
        <w:rPr>
          <w:sz w:val="20"/>
          <w:lang w:val="ru-RU"/>
        </w:rPr>
      </w:pPr>
    </w:p>
    <w:p w14:paraId="04DEB580" w14:textId="1685D990" w:rsidR="00E50921" w:rsidRPr="004F62BE" w:rsidRDefault="00914A22">
      <w:pPr>
        <w:pStyle w:val="11"/>
        <w:jc w:val="both"/>
        <w:rPr>
          <w:sz w:val="20"/>
          <w:lang w:val="ru-RU"/>
        </w:rPr>
      </w:pPr>
      <w:r w:rsidRPr="004F62BE">
        <w:rPr>
          <w:sz w:val="20"/>
          <w:lang w:val="ru-RU"/>
        </w:rPr>
        <w:t>Утратившее силу положения</w:t>
      </w:r>
    </w:p>
    <w:p w14:paraId="04DEB581" w14:textId="05A312DC" w:rsidR="00E50921" w:rsidRPr="004F62BE" w:rsidRDefault="00000E77">
      <w:pPr>
        <w:pStyle w:val="a3"/>
        <w:spacing w:line="261" w:lineRule="auto"/>
        <w:ind w:left="100" w:right="106" w:firstLine="567"/>
        <w:jc w:val="both"/>
        <w:rPr>
          <w:sz w:val="20"/>
          <w:lang w:val="ru-RU"/>
        </w:rPr>
      </w:pPr>
      <w:r w:rsidRPr="004F62BE">
        <w:rPr>
          <w:b/>
          <w:sz w:val="20"/>
          <w:lang w:val="ru-RU"/>
        </w:rPr>
        <w:t xml:space="preserve">СТАТЬЯ 9- </w:t>
      </w:r>
      <w:r w:rsidRPr="004F62BE">
        <w:rPr>
          <w:sz w:val="20"/>
          <w:lang w:val="ru-RU"/>
        </w:rPr>
        <w:t>(1) С даты опубликования данного Извещения "Извещение об Определении максимального количества загрязнений в продуктах питания Продовольственного кодекса Турции", опубликованное в Официальной Газете под № 24885 от 23/09/2002 года было аннулировано.</w:t>
      </w:r>
    </w:p>
    <w:p w14:paraId="04DEB582" w14:textId="77777777" w:rsidR="00E50921" w:rsidRPr="004F62BE" w:rsidRDefault="00E50921">
      <w:pPr>
        <w:pStyle w:val="a3"/>
        <w:spacing w:before="6"/>
        <w:rPr>
          <w:sz w:val="20"/>
          <w:lang w:val="ru-RU"/>
        </w:rPr>
      </w:pPr>
    </w:p>
    <w:p w14:paraId="04DEB583" w14:textId="051D8761" w:rsidR="00E50921" w:rsidRPr="004F62BE" w:rsidRDefault="00914A22">
      <w:pPr>
        <w:pStyle w:val="11"/>
        <w:jc w:val="both"/>
        <w:rPr>
          <w:sz w:val="20"/>
          <w:lang w:val="ru-RU"/>
        </w:rPr>
      </w:pPr>
      <w:r w:rsidRPr="004F62BE">
        <w:rPr>
          <w:sz w:val="20"/>
          <w:lang w:val="ru-RU"/>
        </w:rPr>
        <w:t>Обязательность соблюдения</w:t>
      </w:r>
    </w:p>
    <w:p w14:paraId="04DEB584" w14:textId="191F3169" w:rsidR="00E50921" w:rsidRPr="004F62BE" w:rsidRDefault="00000E77">
      <w:pPr>
        <w:pStyle w:val="a3"/>
        <w:spacing w:line="261" w:lineRule="auto"/>
        <w:ind w:left="100" w:right="99" w:firstLine="567"/>
        <w:jc w:val="both"/>
        <w:rPr>
          <w:sz w:val="20"/>
          <w:lang w:val="ru-RU"/>
        </w:rPr>
      </w:pPr>
      <w:r w:rsidRPr="004F62BE">
        <w:rPr>
          <w:b/>
          <w:sz w:val="20"/>
          <w:lang w:val="ru-RU"/>
        </w:rPr>
        <w:t xml:space="preserve">ВРЕМЕННАЯ СТАТЬЯ 1- </w:t>
      </w:r>
      <w:r w:rsidRPr="004F62BE">
        <w:rPr>
          <w:sz w:val="20"/>
          <w:lang w:val="ru-RU"/>
        </w:rPr>
        <w:t>(1) Производители и продавцы, в настоящее время производящие и продающие товары, указанные в данном извещении, обязаны соответствовать положениям данного Извещения.</w:t>
      </w:r>
    </w:p>
    <w:p w14:paraId="04DEB585" w14:textId="77777777" w:rsidR="00E50921" w:rsidRPr="004F62BE" w:rsidRDefault="00E50921">
      <w:pPr>
        <w:pStyle w:val="a3"/>
        <w:spacing w:before="6"/>
        <w:rPr>
          <w:sz w:val="20"/>
          <w:lang w:val="ru-RU"/>
        </w:rPr>
      </w:pPr>
    </w:p>
    <w:p w14:paraId="04DEB586" w14:textId="41CF6540" w:rsidR="00E50921" w:rsidRPr="004F62BE" w:rsidRDefault="00914A22">
      <w:pPr>
        <w:pStyle w:val="11"/>
        <w:rPr>
          <w:sz w:val="20"/>
          <w:lang w:val="ru-RU"/>
        </w:rPr>
      </w:pPr>
      <w:r w:rsidRPr="004F62BE">
        <w:rPr>
          <w:sz w:val="20"/>
          <w:lang w:val="ru-RU"/>
        </w:rPr>
        <w:t xml:space="preserve">Вступление в силу </w:t>
      </w:r>
    </w:p>
    <w:p w14:paraId="04DEB587" w14:textId="7D63C882" w:rsidR="00E50921" w:rsidRPr="004F62BE" w:rsidRDefault="00000E77">
      <w:pPr>
        <w:pStyle w:val="a3"/>
        <w:ind w:left="667"/>
        <w:rPr>
          <w:sz w:val="20"/>
          <w:lang w:val="ru-RU"/>
        </w:rPr>
      </w:pPr>
      <w:r w:rsidRPr="004F62BE">
        <w:rPr>
          <w:b/>
          <w:sz w:val="20"/>
          <w:lang w:val="ru-RU"/>
        </w:rPr>
        <w:t xml:space="preserve">Статья 10- </w:t>
      </w:r>
      <w:r w:rsidRPr="004F62BE">
        <w:rPr>
          <w:sz w:val="20"/>
          <w:lang w:val="ru-RU"/>
        </w:rPr>
        <w:t>(1) Данное Извещение вступает в силу с момента его опубликования.</w:t>
      </w:r>
    </w:p>
    <w:p w14:paraId="04DEB588" w14:textId="77777777" w:rsidR="00E50921" w:rsidRPr="004F62BE" w:rsidRDefault="00E50921">
      <w:pPr>
        <w:pStyle w:val="a3"/>
        <w:spacing w:before="2"/>
        <w:rPr>
          <w:sz w:val="22"/>
          <w:lang w:val="ru-RU"/>
        </w:rPr>
      </w:pPr>
    </w:p>
    <w:p w14:paraId="04DEB589" w14:textId="77777777" w:rsidR="00E50921" w:rsidRPr="004F62BE" w:rsidRDefault="00000E77">
      <w:pPr>
        <w:pStyle w:val="11"/>
        <w:rPr>
          <w:sz w:val="20"/>
          <w:lang w:val="ru-RU"/>
        </w:rPr>
      </w:pPr>
      <w:r w:rsidRPr="004F62BE">
        <w:rPr>
          <w:sz w:val="20"/>
          <w:lang w:val="ru-RU"/>
        </w:rPr>
        <w:t>Исполнение</w:t>
      </w:r>
    </w:p>
    <w:p w14:paraId="04DEB58A" w14:textId="1BBC40D9" w:rsidR="00E50921" w:rsidRPr="004F62BE" w:rsidRDefault="00000E77">
      <w:pPr>
        <w:pStyle w:val="a3"/>
        <w:spacing w:before="19"/>
        <w:ind w:left="667"/>
        <w:rPr>
          <w:sz w:val="20"/>
          <w:lang w:val="ru-RU"/>
        </w:rPr>
      </w:pPr>
      <w:r w:rsidRPr="004F62BE">
        <w:rPr>
          <w:b/>
          <w:sz w:val="20"/>
          <w:lang w:val="ru-RU"/>
        </w:rPr>
        <w:t>СТАТЬЯ 11-</w:t>
      </w:r>
      <w:bookmarkStart w:id="0" w:name="_GoBack"/>
      <w:bookmarkEnd w:id="0"/>
      <w:r w:rsidRPr="004F62BE">
        <w:rPr>
          <w:b/>
          <w:sz w:val="20"/>
          <w:lang w:val="ru-RU"/>
        </w:rPr>
        <w:t xml:space="preserve"> </w:t>
      </w:r>
      <w:r w:rsidRPr="004F62BE">
        <w:rPr>
          <w:sz w:val="20"/>
          <w:lang w:val="ru-RU"/>
        </w:rPr>
        <w:t>(1) За исполнение данного Извещения ответственно Министерство окружающей среды и лесного хозяйства.</w:t>
      </w:r>
    </w:p>
    <w:sectPr w:rsidR="00E50921" w:rsidRPr="004F62BE">
      <w:headerReference w:type="default" r:id="rId7"/>
      <w:pgSz w:w="11900" w:h="16840"/>
      <w:pgMar w:top="480" w:right="5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C25E" w14:textId="77777777" w:rsidR="00760045" w:rsidRDefault="00760045" w:rsidP="00A77F4D">
      <w:r>
        <w:separator/>
      </w:r>
    </w:p>
  </w:endnote>
  <w:endnote w:type="continuationSeparator" w:id="0">
    <w:p w14:paraId="19E371DD" w14:textId="77777777" w:rsidR="00760045" w:rsidRDefault="00760045" w:rsidP="00A7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87D11" w14:textId="77777777" w:rsidR="00760045" w:rsidRDefault="00760045" w:rsidP="00A77F4D">
      <w:r>
        <w:separator/>
      </w:r>
    </w:p>
  </w:footnote>
  <w:footnote w:type="continuationSeparator" w:id="0">
    <w:p w14:paraId="2181A342" w14:textId="77777777" w:rsidR="00760045" w:rsidRDefault="00760045" w:rsidP="00A7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8513" w14:textId="50DD0FD5" w:rsidR="00A77F4D" w:rsidRPr="00A77F4D" w:rsidRDefault="00A77F4D" w:rsidP="00A77F4D">
    <w:pPr>
      <w:pStyle w:val="a5"/>
      <w:jc w:val="right"/>
      <w:rPr>
        <w:i/>
        <w:iCs/>
        <w:sz w:val="18"/>
        <w:szCs w:val="18"/>
        <w:lang w:val="ru-RU"/>
      </w:rPr>
    </w:pPr>
    <w:r w:rsidRPr="00A77F4D">
      <w:rPr>
        <w:i/>
        <w:iCs/>
        <w:sz w:val="18"/>
        <w:szCs w:val="18"/>
        <w:lang w:val="ru-RU"/>
      </w:rPr>
      <w:t>Перевод с турецкого языка на русский язык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376D"/>
    <w:multiLevelType w:val="hybridMultilevel"/>
    <w:tmpl w:val="00000000"/>
    <w:lvl w:ilvl="0" w:tplc="AB544F8A">
      <w:start w:val="1"/>
      <w:numFmt w:val="decimal"/>
      <w:lvlText w:val="%1)"/>
      <w:lvlJc w:val="left"/>
      <w:pPr>
        <w:ind w:left="862" w:hanging="196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C06A4854">
      <w:numFmt w:val="bullet"/>
      <w:lvlText w:val="•"/>
      <w:lvlJc w:val="left"/>
      <w:pPr>
        <w:ind w:left="1847" w:hanging="196"/>
      </w:pPr>
      <w:rPr>
        <w:rFonts w:hint="default"/>
      </w:rPr>
    </w:lvl>
    <w:lvl w:ilvl="2" w:tplc="54C4504C">
      <w:numFmt w:val="bullet"/>
      <w:lvlText w:val="•"/>
      <w:lvlJc w:val="left"/>
      <w:pPr>
        <w:ind w:left="2835" w:hanging="196"/>
      </w:pPr>
      <w:rPr>
        <w:rFonts w:hint="default"/>
      </w:rPr>
    </w:lvl>
    <w:lvl w:ilvl="3" w:tplc="03F62E6E">
      <w:numFmt w:val="bullet"/>
      <w:lvlText w:val="•"/>
      <w:lvlJc w:val="left"/>
      <w:pPr>
        <w:ind w:left="3823" w:hanging="196"/>
      </w:pPr>
      <w:rPr>
        <w:rFonts w:hint="default"/>
      </w:rPr>
    </w:lvl>
    <w:lvl w:ilvl="4" w:tplc="7778A15E">
      <w:numFmt w:val="bullet"/>
      <w:lvlText w:val="•"/>
      <w:lvlJc w:val="left"/>
      <w:pPr>
        <w:ind w:left="4811" w:hanging="196"/>
      </w:pPr>
      <w:rPr>
        <w:rFonts w:hint="default"/>
      </w:rPr>
    </w:lvl>
    <w:lvl w:ilvl="5" w:tplc="14704D3A">
      <w:numFmt w:val="bullet"/>
      <w:lvlText w:val="•"/>
      <w:lvlJc w:val="left"/>
      <w:pPr>
        <w:ind w:left="5799" w:hanging="196"/>
      </w:pPr>
      <w:rPr>
        <w:rFonts w:hint="default"/>
      </w:rPr>
    </w:lvl>
    <w:lvl w:ilvl="6" w:tplc="FEC8F0FE">
      <w:numFmt w:val="bullet"/>
      <w:lvlText w:val="•"/>
      <w:lvlJc w:val="left"/>
      <w:pPr>
        <w:ind w:left="6787" w:hanging="196"/>
      </w:pPr>
      <w:rPr>
        <w:rFonts w:hint="default"/>
      </w:rPr>
    </w:lvl>
    <w:lvl w:ilvl="7" w:tplc="CC2C4C4C">
      <w:numFmt w:val="bullet"/>
      <w:lvlText w:val="•"/>
      <w:lvlJc w:val="left"/>
      <w:pPr>
        <w:ind w:left="7775" w:hanging="196"/>
      </w:pPr>
      <w:rPr>
        <w:rFonts w:hint="default"/>
      </w:rPr>
    </w:lvl>
    <w:lvl w:ilvl="8" w:tplc="84345D52">
      <w:numFmt w:val="bullet"/>
      <w:lvlText w:val="•"/>
      <w:lvlJc w:val="left"/>
      <w:pPr>
        <w:ind w:left="8763" w:hanging="196"/>
      </w:pPr>
      <w:rPr>
        <w:rFonts w:hint="default"/>
      </w:rPr>
    </w:lvl>
  </w:abstractNum>
  <w:abstractNum w:abstractNumId="1" w15:restartNumberingAfterBreak="0">
    <w:nsid w:val="52620F64"/>
    <w:multiLevelType w:val="hybridMultilevel"/>
    <w:tmpl w:val="00000000"/>
    <w:lvl w:ilvl="0" w:tplc="F684CDFA">
      <w:start w:val="1"/>
      <w:numFmt w:val="lowerLetter"/>
      <w:lvlText w:val="%1)"/>
      <w:lvlJc w:val="left"/>
      <w:pPr>
        <w:ind w:left="852" w:hanging="185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865ABF2A">
      <w:numFmt w:val="bullet"/>
      <w:lvlText w:val="•"/>
      <w:lvlJc w:val="left"/>
      <w:pPr>
        <w:ind w:left="1847" w:hanging="185"/>
      </w:pPr>
      <w:rPr>
        <w:rFonts w:hint="default"/>
      </w:rPr>
    </w:lvl>
    <w:lvl w:ilvl="2" w:tplc="468A7732">
      <w:numFmt w:val="bullet"/>
      <w:lvlText w:val="•"/>
      <w:lvlJc w:val="left"/>
      <w:pPr>
        <w:ind w:left="2835" w:hanging="185"/>
      </w:pPr>
      <w:rPr>
        <w:rFonts w:hint="default"/>
      </w:rPr>
    </w:lvl>
    <w:lvl w:ilvl="3" w:tplc="24D45040">
      <w:numFmt w:val="bullet"/>
      <w:lvlText w:val="•"/>
      <w:lvlJc w:val="left"/>
      <w:pPr>
        <w:ind w:left="3823" w:hanging="185"/>
      </w:pPr>
      <w:rPr>
        <w:rFonts w:hint="default"/>
      </w:rPr>
    </w:lvl>
    <w:lvl w:ilvl="4" w:tplc="280EE554">
      <w:numFmt w:val="bullet"/>
      <w:lvlText w:val="•"/>
      <w:lvlJc w:val="left"/>
      <w:pPr>
        <w:ind w:left="4811" w:hanging="185"/>
      </w:pPr>
      <w:rPr>
        <w:rFonts w:hint="default"/>
      </w:rPr>
    </w:lvl>
    <w:lvl w:ilvl="5" w:tplc="6374D3EE">
      <w:numFmt w:val="bullet"/>
      <w:lvlText w:val="•"/>
      <w:lvlJc w:val="left"/>
      <w:pPr>
        <w:ind w:left="5799" w:hanging="185"/>
      </w:pPr>
      <w:rPr>
        <w:rFonts w:hint="default"/>
      </w:rPr>
    </w:lvl>
    <w:lvl w:ilvl="6" w:tplc="F8404EFE">
      <w:numFmt w:val="bullet"/>
      <w:lvlText w:val="•"/>
      <w:lvlJc w:val="left"/>
      <w:pPr>
        <w:ind w:left="6787" w:hanging="185"/>
      </w:pPr>
      <w:rPr>
        <w:rFonts w:hint="default"/>
      </w:rPr>
    </w:lvl>
    <w:lvl w:ilvl="7" w:tplc="B79A18D2">
      <w:numFmt w:val="bullet"/>
      <w:lvlText w:val="•"/>
      <w:lvlJc w:val="left"/>
      <w:pPr>
        <w:ind w:left="7775" w:hanging="185"/>
      </w:pPr>
      <w:rPr>
        <w:rFonts w:hint="default"/>
      </w:rPr>
    </w:lvl>
    <w:lvl w:ilvl="8" w:tplc="70B8AB66">
      <w:numFmt w:val="bullet"/>
      <w:lvlText w:val="•"/>
      <w:lvlJc w:val="left"/>
      <w:pPr>
        <w:ind w:left="8763" w:hanging="185"/>
      </w:pPr>
      <w:rPr>
        <w:rFonts w:hint="default"/>
      </w:rPr>
    </w:lvl>
  </w:abstractNum>
  <w:abstractNum w:abstractNumId="2" w15:restartNumberingAfterBreak="0">
    <w:nsid w:val="5B522E64"/>
    <w:multiLevelType w:val="hybridMultilevel"/>
    <w:tmpl w:val="00000000"/>
    <w:lvl w:ilvl="0" w:tplc="24343D74">
      <w:start w:val="1"/>
      <w:numFmt w:val="lowerLetter"/>
      <w:lvlText w:val="%1)"/>
      <w:lvlJc w:val="left"/>
      <w:pPr>
        <w:ind w:left="100" w:hanging="232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0AD25C1E">
      <w:start w:val="1"/>
      <w:numFmt w:val="decimal"/>
      <w:lvlText w:val="%2)"/>
      <w:lvlJc w:val="left"/>
      <w:pPr>
        <w:ind w:left="862" w:hanging="196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 w:tplc="7B26CFBE">
      <w:numFmt w:val="bullet"/>
      <w:lvlText w:val="•"/>
      <w:lvlJc w:val="left"/>
      <w:pPr>
        <w:ind w:left="1957" w:hanging="196"/>
      </w:pPr>
      <w:rPr>
        <w:rFonts w:hint="default"/>
      </w:rPr>
    </w:lvl>
    <w:lvl w:ilvl="3" w:tplc="348A0326">
      <w:numFmt w:val="bullet"/>
      <w:lvlText w:val="•"/>
      <w:lvlJc w:val="left"/>
      <w:pPr>
        <w:ind w:left="3055" w:hanging="196"/>
      </w:pPr>
      <w:rPr>
        <w:rFonts w:hint="default"/>
      </w:rPr>
    </w:lvl>
    <w:lvl w:ilvl="4" w:tplc="2642049C">
      <w:numFmt w:val="bullet"/>
      <w:lvlText w:val="•"/>
      <w:lvlJc w:val="left"/>
      <w:pPr>
        <w:ind w:left="4153" w:hanging="196"/>
      </w:pPr>
      <w:rPr>
        <w:rFonts w:hint="default"/>
      </w:rPr>
    </w:lvl>
    <w:lvl w:ilvl="5" w:tplc="3B4E70C2">
      <w:numFmt w:val="bullet"/>
      <w:lvlText w:val="•"/>
      <w:lvlJc w:val="left"/>
      <w:pPr>
        <w:ind w:left="5250" w:hanging="196"/>
      </w:pPr>
      <w:rPr>
        <w:rFonts w:hint="default"/>
      </w:rPr>
    </w:lvl>
    <w:lvl w:ilvl="6" w:tplc="2C9492DE">
      <w:numFmt w:val="bullet"/>
      <w:lvlText w:val="•"/>
      <w:lvlJc w:val="left"/>
      <w:pPr>
        <w:ind w:left="6348" w:hanging="196"/>
      </w:pPr>
      <w:rPr>
        <w:rFonts w:hint="default"/>
      </w:rPr>
    </w:lvl>
    <w:lvl w:ilvl="7" w:tplc="B8C4BB92">
      <w:numFmt w:val="bullet"/>
      <w:lvlText w:val="•"/>
      <w:lvlJc w:val="left"/>
      <w:pPr>
        <w:ind w:left="7446" w:hanging="196"/>
      </w:pPr>
      <w:rPr>
        <w:rFonts w:hint="default"/>
      </w:rPr>
    </w:lvl>
    <w:lvl w:ilvl="8" w:tplc="604E219C">
      <w:numFmt w:val="bullet"/>
      <w:lvlText w:val="•"/>
      <w:lvlJc w:val="left"/>
      <w:pPr>
        <w:ind w:left="8543" w:hanging="19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50921"/>
    <w:rsid w:val="00000E77"/>
    <w:rsid w:val="00020782"/>
    <w:rsid w:val="00337148"/>
    <w:rsid w:val="004F62BE"/>
    <w:rsid w:val="005438EB"/>
    <w:rsid w:val="006760A4"/>
    <w:rsid w:val="006F763F"/>
    <w:rsid w:val="00760045"/>
    <w:rsid w:val="00801822"/>
    <w:rsid w:val="00914A22"/>
    <w:rsid w:val="00A77F4D"/>
    <w:rsid w:val="00AB7992"/>
    <w:rsid w:val="00B149A6"/>
    <w:rsid w:val="00D66F39"/>
    <w:rsid w:val="00DF2EF6"/>
    <w:rsid w:val="00E50921"/>
    <w:rsid w:val="00EB68A2"/>
    <w:rsid w:val="00E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DEB53D"/>
  <w15:docId w15:val="{6C6E02E7-D8E2-40C3-AFF1-802F2E37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pPr>
      <w:ind w:left="667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ind w:left="862" w:hanging="1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7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F4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77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F4D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DF2E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2E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2EF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2E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2E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F2E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2E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Пушкин Павел Викторович</cp:lastModifiedBy>
  <cp:revision>17</cp:revision>
  <dcterms:created xsi:type="dcterms:W3CDTF">2020-12-03T10:39:00Z</dcterms:created>
  <dcterms:modified xsi:type="dcterms:W3CDTF">2020-12-17T13:04:00Z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Mozilla/5.0 (Windows NT 10.0; Win64; x64) AppleWebKit/537.36 (KHTML, like Gecko) Chrome/86.0.4240.193 Safari/537.36</vt:lpwstr>
  </property>
  <property fmtid="{D5CDD505-2E9C-101B-9397-08002B2CF9AE}" pid="4" name="LastSaved">
    <vt:filetime>2020-12-03T00:00:00Z</vt:filetime>
  </property>
</Properties>
</file>